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59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hr-HR" w:eastAsia="hr-HR" w:bidi="hr-HR"/>
        </w:rPr>
        <w:t>BILJEŠKE UZ FINANCIJSKE IZVJEŠTAJE</w:t>
        <w:br/>
        <w:t>za razdoblje 1 .siječanj-31.prosinac 2023. godine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5151755</wp:posOffset>
                </wp:positionH>
                <wp:positionV relativeFrom="paragraph">
                  <wp:posOffset>190500</wp:posOffset>
                </wp:positionV>
                <wp:extent cx="1223010" cy="18034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3010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hr-HR" w:eastAsia="hr-HR" w:bidi="hr-HR"/>
                              </w:rPr>
                              <w:t>OIB: 26811816640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5.65000000000003pt;margin-top:15.pt;width:96.299999999999997pt;height:14.2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hr-HR" w:eastAsia="hr-HR" w:bidi="hr-HR"/>
                        </w:rPr>
                        <w:t>OIB: 26811816640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Broj RKP-a: 46663 Matični broj: 01384996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Naziv obveznika: Dječji vrtić Lekenik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Pošta i mjesto: 44272 Lekenik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Ulica i kućni broj: Hermanna Gmeinera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Razina: 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Šifra djelatnosti:8510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Razdjel: 000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Šifra grada/opć.: 228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4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Bilješke uz Bilancu - Obrazac BIL</w:t>
      </w:r>
      <w:bookmarkEnd w:id="0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B002 - Nefinancijska imovina uvećana je za nabave imovine u 2023. godini i umanjena za obračun ispravka vrijednosti primjenom propisanih stopa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30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012 - Nematerijalna imovina se odnosi na ulaganje u prostor OŠ Lekenik radi prava korištenja, a odnosi se na prostor za jednu vrtićku grupu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11 - Novac u banci i blagajni u iznosu od 61,97 € odgovara stanju na dan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31.12.2023. godine novca u blagajni obzirom da dječji vrtić više nema svoj žiro račun jer posluje preko jedinstvenog računa Općinske riznice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30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129 - Ostala potraživanja u iznosu od 620,38 € odnose se na potraživanja od HZZO-a za bolovanje preko 42 dana i potraživanja za predujmove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9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165 - Potraživanja za upravne i administrativne pristojbe, pristojbe po posebnim propisima i naknade imaju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index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122,8%, i povećani su zbog bolje naplate potraživanja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Bilješke uz Izvještaj o prihodima i rashodima, primicima i izdacima- Obrazac PR-RAS</w:t>
      </w:r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1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6526 - Ostali nespomenuti prihodi povećani su u odnosu na prošlu godinu za 21,1% iz razloga bolje naplate istog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312 - Ostali rashodi za zaposlene imaju povećanje za 26,8% u odnosu na prošlogodišnje razdoblje jer je isplaćen neiskorišten godišnji odmor i pomoć za smrtni slučaj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3211 - Službena putovanja uvećani su za 146,8% u odnosu na prošlu godinu jer je bilo više odlazaka na službena putovanja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3225 - Sitni inventar i auto gume uvećani su za 263,2% u odnosu na prošlogodišnje razdoblje jer je naručeno više sredstava po ovoj osnovi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3227 -Službena, radna i zaštitna odjeća i obuća ima indeks 1128,8% zbog veće nabave radne odjeće i obuće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3236 -Zdravstvene i veterinarske usluge ima indeks 18,6% do smanjenja dolazi iz razloga jer program Bolje čitam, još bolje govorim se financira preko Općine Lekenik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3238 - Računalne usluge ima indeks 202,5% do povećanja dolazi zbog povećanja troškova na usluge i uvođenje promjena po novim zakonskim odredbama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3293 - Reprezentacija uvećana je za 135,5% u odnosnu na prošlogodišnje razdoblje iz razloga svečanog otvaranja nove skupine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4221 - Uredska oprema i namještaj uvećana je za 106,4% u odnosu na prošlogodišnje razdoblje zbog nabave namještaja za novu odgojnu skupinu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4" w:val="left"/>
        </w:tabs>
        <w:bidi w:val="0"/>
        <w:spacing w:before="0" w:after="9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4227 - Uređaji, strojevi i oprema za ostale namjene uvećana je za 125,4% u odnosu na prošlogodišnje razdoblje zbog naručene nove opreme za zamjenu stare i istrošene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Bilješke uz Izvještaj o rashodima prema funkcijskoj klasifikaciji - Obrazac RAS-funkcijski</w:t>
      </w:r>
      <w:bookmarkEnd w:id="4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0" w:val="left"/>
        </w:tabs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37" w:right="1563" w:bottom="1833" w:left="1262" w:header="1109" w:footer="140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AOP 137 - Ukupni rashodi su razvrstani prema funkcijskoj klasifikaciji i odgovaraju AOP 407 iz obrasca PR-RAS</w:t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4404995</wp:posOffset>
            </wp:positionH>
            <wp:positionV relativeFrom="paragraph">
              <wp:posOffset>3374390</wp:posOffset>
            </wp:positionV>
            <wp:extent cx="2011680" cy="192024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11680" cy="19202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Bilješke uz Izvještaj o obvezama - Obrazac Obveze</w:t>
      </w:r>
      <w:bookmarkEnd w:id="6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V009 - Stanje nedospjelih obveza u iznosu od 119.413,24 € odnosi se na: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231 - obveze za zaposlene u iznosu od 30.432,78 €, odnosno plaću za prosinac 2023. godine koja je isplaćena 08.01.2024. godine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232 - obveze za materijalne rashode u iznosu od 6.363,91 € s dospijećem u 2024. godini 2023. godine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8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264 - obveze za kredite i zajmove od kreditnih i ostalih financijskih institucija izvan javnog sektora u iznosu od 82.616,55 €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1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V007 - Stanje dospjelih obveza na kraju izvještajnog razdoblja u iznosu od 121,38 €, odnosi se na račun koji je naknadno pristigao, te isti podmiren u siječnju 2024. godine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 Lekeniku, 26. siječnja 2024. godine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Osoba za kontaktiranje: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Mirela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Barišić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84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Telefon:</w:t>
        <w:tab/>
        <w:t>044- 527816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Zakonski predstavnik: Mirjana Božić</w:t>
      </w:r>
    </w:p>
    <w:sectPr>
      <w:footnotePr>
        <w:pos w:val="pageBottom"/>
        <w:numFmt w:val="decimal"/>
        <w:numRestart w:val="continuous"/>
      </w:footnotePr>
      <w:pgSz w:w="11900" w:h="16840"/>
      <w:pgMar w:top="1470" w:right="1557" w:bottom="1470" w:left="1267" w:header="1042" w:footer="104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hr-HR" w:eastAsia="hr-HR" w:bidi="hr-HR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Body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300" w:line="257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auto"/>
      <w:spacing w:after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